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bookmarkStart w:id="0" w:name="_GoBack"/>
      <w:bookmarkEnd w:id="0"/>
      <w:r>
        <w:rPr>
          <w:rFonts w:ascii="Calibri Light" w:hAnsi="Calibri Light"/>
          <w:b/>
          <w:i/>
          <w:highlight w:val="yellow"/>
        </w:rPr>
        <w:t>INSERT SCHOOL LETTERHEAD HERE</w:t>
      </w:r>
    </w:p>
    <w:p w:rsidR="00F13CCB" w:rsidRDefault="00D57220" w:rsidP="00F13CCB">
      <w:pPr>
        <w:spacing w:before="39" w:line="259" w:lineRule="auto"/>
        <w:jc w:val="center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 xml:space="preserve">LEY DE SALUD JUVENIL DE CALIFORNIA – CÓDIGO DE EDUCACIÓN §§ 51930 ‐ 51939 </w:t>
      </w:r>
    </w:p>
    <w:p w:rsidR="00631417" w:rsidRDefault="00D57220" w:rsidP="00F13CCB">
      <w:pPr>
        <w:spacing w:before="39" w:line="259" w:lineRule="auto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>EDUCACIÓN INTEGRAL DE SALUD SEXUAL Y PREVENCIÓN DE VIH</w:t>
      </w:r>
    </w:p>
    <w:p w:rsidR="00631417" w:rsidRDefault="00631417" w:rsidP="00F13CCB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>
        <w:rPr>
          <w:rFonts w:ascii="Calibri Light" w:hAnsi="Calibri Light"/>
          <w:szCs w:val="19"/>
          <w:highlight w:val="yellow"/>
        </w:rPr>
        <w:t>[Fecha]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D57220" w:rsidP="008C43C7">
      <w:pPr>
        <w:pStyle w:val="BodyText"/>
        <w:ind w:left="0"/>
      </w:pPr>
      <w:r>
        <w:t>Estimados Padres/Tutores: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D13CA8" w:rsidRDefault="00D57220" w:rsidP="007C13DB">
      <w:pPr>
        <w:pStyle w:val="BodyText"/>
        <w:ind w:left="0" w:right="202"/>
      </w:pPr>
      <w:r>
        <w:t xml:space="preserve">La ley estatal de California, la </w:t>
      </w:r>
      <w:hyperlink r:id="rId7" w:history="1">
        <w:r>
          <w:rPr>
            <w:rStyle w:val="Hyperlink"/>
          </w:rPr>
          <w:t>Ley de Salud Juvenil de California</w:t>
        </w:r>
      </w:hyperlink>
      <w:r>
        <w:t xml:space="preserve"> (CHYA), requiere que se proporcione educación integral de salud sexual y prevención de VIH, al menos una vez en la escuela intermedia y una vez en la preparatoria. Para suplementar la instrucción en la escuela preparatoria, nuestra escuela también brindará a los estudiantes una oportunidad para ver un Programa Virtual de Kaiser Permanente sobre Educación de la salud para estudiantes de Escuela Preparatoria, lo que está en cumplimiento con CHYA.</w:t>
      </w:r>
    </w:p>
    <w:p w:rsidR="00CD4CCE" w:rsidRDefault="00CD4CCE" w:rsidP="007C13DB">
      <w:pPr>
        <w:pStyle w:val="BodyText"/>
        <w:ind w:left="0" w:right="202"/>
      </w:pPr>
    </w:p>
    <w:p w:rsidR="00CD4CCE" w:rsidRDefault="00CD4CCE" w:rsidP="007C13DB">
      <w:pPr>
        <w:pStyle w:val="BodyText"/>
        <w:ind w:left="0" w:right="202"/>
      </w:pPr>
      <w:r>
        <w:t xml:space="preserve">El programa Teatral de Educación de Kaiser Permanente para Prevención de STDs, </w:t>
      </w:r>
      <w:r>
        <w:rPr>
          <w:i/>
        </w:rPr>
        <w:t>What Goes Around</w:t>
      </w:r>
      <w:r>
        <w:t xml:space="preserve">, será presentado sincrónicamente vía Zoom y consiste de un video seguido por una sesión de preguntas y respuestas. Esta presentación </w:t>
      </w:r>
      <w:r>
        <w:rPr>
          <w:i/>
        </w:rPr>
        <w:t xml:space="preserve"> </w:t>
      </w:r>
      <w:r>
        <w:t xml:space="preserve">se mostrará a los estudiantes de </w:t>
      </w:r>
      <w:r>
        <w:rPr>
          <w:highlight w:val="yellow"/>
        </w:rPr>
        <w:t>[Grade(s)]</w:t>
      </w:r>
      <w:r>
        <w:t xml:space="preserve"> grado el </w:t>
      </w:r>
      <w:r>
        <w:rPr>
          <w:highlight w:val="yellow"/>
        </w:rPr>
        <w:t>[Date(s)]</w:t>
      </w:r>
      <w:r>
        <w:t>.</w:t>
      </w:r>
    </w:p>
    <w:p w:rsidR="00CD4CCE" w:rsidRDefault="00CD4CCE" w:rsidP="007C13DB">
      <w:pPr>
        <w:pStyle w:val="BodyText"/>
        <w:ind w:left="0" w:right="202"/>
      </w:pPr>
    </w:p>
    <w:p w:rsidR="00D13CA8" w:rsidRPr="007C13DB" w:rsidRDefault="007C13DB" w:rsidP="007C13DB">
      <w:pPr>
        <w:pStyle w:val="BodyText"/>
        <w:ind w:left="0" w:right="202"/>
      </w:pPr>
      <w:r>
        <w:t>Ya que este programa se proporcionará en el formato de aprendizaje en línea, es importante para las familias que se aseguren de que: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</w:pPr>
      <w:r>
        <w:t>Los estudiantes tengan audífonos o un espacio privado apartado de niños más pequeños para participar en estas lecciones.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</w:pPr>
      <w:r>
        <w:t>Los estudiantes no deben grabar o distribuir ningún material educativo sin el permiso de sus maestros.</w:t>
      </w:r>
    </w:p>
    <w:p w:rsidR="00D13CA8" w:rsidRDefault="00D13CA8" w:rsidP="00232559">
      <w:pPr>
        <w:pStyle w:val="BodyText"/>
        <w:ind w:left="0" w:right="202"/>
        <w:rPr>
          <w:lang w:val="en"/>
        </w:rPr>
      </w:pPr>
    </w:p>
    <w:p w:rsidR="00D13CA8" w:rsidRPr="007C13DB" w:rsidRDefault="00784506" w:rsidP="00232559">
      <w:pPr>
        <w:pStyle w:val="BodyText"/>
        <w:tabs>
          <w:tab w:val="left" w:pos="180"/>
        </w:tabs>
        <w:ind w:left="0" w:right="202"/>
      </w:pPr>
      <w:r>
        <w:t xml:space="preserve">Para darles a ustedes una oportunidad accesible para ver los materiales educativos con antelación, vean por favor el tráiler de esta presentación en línea aquí: </w:t>
      </w:r>
      <w:hyperlink r:id="rId8" w:history="1">
        <w:r w:rsidR="00F13CCB">
          <w:rPr>
            <w:rStyle w:val="Hyperlink"/>
          </w:rPr>
          <w:t xml:space="preserve">Tráiler de </w:t>
        </w:r>
        <w:r w:rsidR="00F13CCB" w:rsidRPr="00F13CCB">
          <w:rPr>
            <w:rStyle w:val="Hyperlink"/>
            <w:i/>
          </w:rPr>
          <w:t>What Goes Around</w:t>
        </w:r>
      </w:hyperlink>
      <w:r>
        <w:t>.</w:t>
      </w:r>
    </w:p>
    <w:p w:rsidR="006368D7" w:rsidRDefault="006368D7" w:rsidP="006368D7">
      <w:pPr>
        <w:pStyle w:val="BodyText"/>
        <w:tabs>
          <w:tab w:val="left" w:pos="180"/>
        </w:tabs>
        <w:ind w:left="0" w:right="202"/>
      </w:pPr>
    </w:p>
    <w:p w:rsidR="006368D7" w:rsidRDefault="00D65ADA" w:rsidP="006368D7">
      <w:pPr>
        <w:pStyle w:val="BodyText"/>
        <w:tabs>
          <w:tab w:val="left" w:pos="180"/>
        </w:tabs>
        <w:ind w:left="0" w:right="202"/>
      </w:pPr>
      <w:r>
        <w:rPr>
          <w:b/>
        </w:rPr>
        <w:t>Por favor tenga en cuenta que los padres o tutores pueden excusar a su hijo/a de esta presentación de salud sexual para este año escolar al proporcionar una nota electrónica o por escrito en su idioma de preferencia al maestro de su hijo/a. La nota simplemente debe decir que excusan a su hijo/a de esta presentación de salud sexual, incluir el nombre del estudiante, y debe ser generada o estar firmada por alguno de los padres o tutores. No hay necesidad de presentar ninguna razón en esta nota.</w:t>
      </w:r>
      <w:r>
        <w:t xml:space="preserve">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D57220" w:rsidP="008C43C7">
      <w:pPr>
        <w:pStyle w:val="BodyText"/>
        <w:spacing w:after="240"/>
        <w:ind w:left="0" w:right="202"/>
      </w:pPr>
      <w:r>
        <w:t>Atentamente,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hAnsi="Calibri Light"/>
          <w:highlight w:val="yellow"/>
        </w:rPr>
        <w:t>[Principal]</w:t>
      </w:r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42" w:rsidRDefault="00C82142" w:rsidP="00C82142">
      <w:r>
        <w:separator/>
      </w:r>
    </w:p>
  </w:endnote>
  <w:endnote w:type="continuationSeparator" w:id="0">
    <w:p w:rsidR="00C82142" w:rsidRDefault="00C82142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>
      <w:rPr>
        <w:rFonts w:ascii="Calibri Light" w:hAnsi="Calibri Light"/>
        <w:smallCaps/>
        <w:color w:val="0070C0"/>
        <w:sz w:val="18"/>
      </w:rPr>
      <w:t>Este recurso se desarrolló en colaboración con la ACLU de California</w:t>
    </w:r>
  </w:p>
  <w:p w:rsidR="00C82142" w:rsidRDefault="00D85FD0" w:rsidP="00417929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085850" cy="355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P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42" w:rsidRDefault="00C82142" w:rsidP="00C82142">
      <w:r>
        <w:separator/>
      </w:r>
    </w:p>
  </w:footnote>
  <w:footnote w:type="continuationSeparator" w:id="0">
    <w:p w:rsidR="00C82142" w:rsidRDefault="00C82142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  <w:lang w:val="en-US"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191B12"/>
    <w:rsid w:val="001B5D20"/>
    <w:rsid w:val="001C0799"/>
    <w:rsid w:val="0022546C"/>
    <w:rsid w:val="00232559"/>
    <w:rsid w:val="002C7152"/>
    <w:rsid w:val="0034561F"/>
    <w:rsid w:val="00380185"/>
    <w:rsid w:val="003926F1"/>
    <w:rsid w:val="003E3CB3"/>
    <w:rsid w:val="00417929"/>
    <w:rsid w:val="004725DF"/>
    <w:rsid w:val="00481B93"/>
    <w:rsid w:val="004E2F0E"/>
    <w:rsid w:val="00545249"/>
    <w:rsid w:val="005649D9"/>
    <w:rsid w:val="005B1C8D"/>
    <w:rsid w:val="005D0853"/>
    <w:rsid w:val="005D3E67"/>
    <w:rsid w:val="00631417"/>
    <w:rsid w:val="006368D7"/>
    <w:rsid w:val="00640EF1"/>
    <w:rsid w:val="006452E5"/>
    <w:rsid w:val="006502E4"/>
    <w:rsid w:val="0075452C"/>
    <w:rsid w:val="00784506"/>
    <w:rsid w:val="007B7E19"/>
    <w:rsid w:val="007C13DB"/>
    <w:rsid w:val="00872ED6"/>
    <w:rsid w:val="008C43C7"/>
    <w:rsid w:val="00921BA2"/>
    <w:rsid w:val="0097242C"/>
    <w:rsid w:val="00AE45B0"/>
    <w:rsid w:val="00B30357"/>
    <w:rsid w:val="00B94A69"/>
    <w:rsid w:val="00C34481"/>
    <w:rsid w:val="00C665AA"/>
    <w:rsid w:val="00C7275F"/>
    <w:rsid w:val="00C82142"/>
    <w:rsid w:val="00C90FA7"/>
    <w:rsid w:val="00CC5E16"/>
    <w:rsid w:val="00CD4CCE"/>
    <w:rsid w:val="00D066E8"/>
    <w:rsid w:val="00D13CA8"/>
    <w:rsid w:val="00D31520"/>
    <w:rsid w:val="00D57220"/>
    <w:rsid w:val="00D65ADA"/>
    <w:rsid w:val="00D85FD0"/>
    <w:rsid w:val="00F13CCB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395162/7a4c0de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codes_displayexpandedbranch.xhtml?tocCode=EDC&amp;division=4.&amp;title=2.&amp;part=28.&amp;chapter=5.6.&amp;artic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2</cp:revision>
  <cp:lastPrinted>2020-09-21T19:30:00Z</cp:lastPrinted>
  <dcterms:created xsi:type="dcterms:W3CDTF">2020-12-08T21:09:00Z</dcterms:created>
  <dcterms:modified xsi:type="dcterms:W3CDTF">2020-12-08T21:09:00Z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